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2A7" w:rsidRDefault="007922A7">
      <w:pPr>
        <w:pStyle w:val="Heading1"/>
      </w:pPr>
      <w:r>
        <w:t xml:space="preserve">Worksheet – </w:t>
      </w:r>
      <w:r w:rsidR="00755388">
        <w:t>Educational Developer</w:t>
      </w:r>
      <w:r>
        <w:t xml:space="preserve"> Philosophy Statements</w:t>
      </w:r>
    </w:p>
    <w:p w:rsidR="007922A7" w:rsidRDefault="007922A7"/>
    <w:p w:rsidR="00F94EE8" w:rsidRDefault="00F94EE8"/>
    <w:p w:rsidR="00755388" w:rsidRPr="005638BE" w:rsidRDefault="00755388">
      <w:pPr>
        <w:rPr>
          <w:i/>
          <w:sz w:val="22"/>
          <w:szCs w:val="22"/>
        </w:rPr>
      </w:pPr>
      <w:r w:rsidRPr="005638BE">
        <w:rPr>
          <w:i/>
          <w:sz w:val="22"/>
          <w:szCs w:val="22"/>
        </w:rPr>
        <w:t xml:space="preserve">When we think about the field of educational development and our place within it, we may have explicit or implicit principles that guide our work. The field itself may have a variety of “ways of knowing” what we know about education and, well, about development (of people, organizations, groups). Think about the audience for your own work, about those with whom you work in a given year, and try answering any of these prompts that seem to fit for you </w:t>
      </w:r>
      <w:r w:rsidR="000E5C70">
        <w:rPr>
          <w:i/>
          <w:sz w:val="22"/>
          <w:szCs w:val="22"/>
        </w:rPr>
        <w:t>OR try starting to fill out the grid on the back of this page. If neither approach works, free-write for several minutes on the topic “What questions do I ask myself when I’m doing my work with a given audience?”</w:t>
      </w:r>
      <w:r w:rsidRPr="005638BE">
        <w:rPr>
          <w:i/>
          <w:sz w:val="22"/>
          <w:szCs w:val="22"/>
        </w:rPr>
        <w:t xml:space="preserve"> </w:t>
      </w:r>
    </w:p>
    <w:p w:rsidR="007922A7" w:rsidRDefault="007922A7"/>
    <w:p w:rsidR="007922A7" w:rsidRDefault="005638BE">
      <w:r>
        <w:t>(Faculty/staff/TAs/______</w:t>
      </w:r>
      <w:proofErr w:type="gramStart"/>
      <w:r>
        <w:t xml:space="preserve">) </w:t>
      </w:r>
      <w:r w:rsidR="00755388">
        <w:t xml:space="preserve"> learn</w:t>
      </w:r>
      <w:proofErr w:type="gramEnd"/>
      <w:r w:rsidR="00755388">
        <w:t xml:space="preserve"> </w:t>
      </w:r>
      <w:r w:rsidR="007922A7">
        <w:t>best when…</w:t>
      </w:r>
    </w:p>
    <w:p w:rsidR="007922A7" w:rsidRDefault="007922A7"/>
    <w:p w:rsidR="007922A7" w:rsidRDefault="007922A7"/>
    <w:p w:rsidR="007922A7" w:rsidRDefault="007922A7"/>
    <w:p w:rsidR="005638BE" w:rsidRDefault="005638BE"/>
    <w:p w:rsidR="007922A7" w:rsidRDefault="005638BE">
      <w:r>
        <w:t>I’m responsible for supporting (faculty/ staff/ TAs/ ____</w:t>
      </w:r>
      <w:proofErr w:type="gramStart"/>
      <w:r>
        <w:t>)  who</w:t>
      </w:r>
      <w:proofErr w:type="gramEnd"/>
      <w:r>
        <w:t xml:space="preserve"> </w:t>
      </w:r>
      <w:r w:rsidR="007922A7">
        <w:t>struggle with…</w:t>
      </w:r>
    </w:p>
    <w:p w:rsidR="007922A7" w:rsidRDefault="007922A7"/>
    <w:p w:rsidR="007922A7" w:rsidRDefault="007922A7"/>
    <w:p w:rsidR="007922A7" w:rsidRDefault="007922A7"/>
    <w:p w:rsidR="005638BE" w:rsidRDefault="005638BE"/>
    <w:p w:rsidR="007922A7" w:rsidRDefault="007922A7">
      <w:r>
        <w:t xml:space="preserve">The </w:t>
      </w:r>
      <w:r w:rsidR="00755388">
        <w:t>developer’s</w:t>
      </w:r>
      <w:r>
        <w:t xml:space="preserve"> role</w:t>
      </w:r>
      <w:r w:rsidR="005638BE">
        <w:t xml:space="preserve"> in supporting these people</w:t>
      </w:r>
      <w:r>
        <w:t xml:space="preserve"> is to…</w:t>
      </w:r>
    </w:p>
    <w:p w:rsidR="007922A7" w:rsidRDefault="007922A7"/>
    <w:p w:rsidR="007922A7" w:rsidRDefault="007922A7"/>
    <w:p w:rsidR="0002239D" w:rsidRDefault="0002239D"/>
    <w:p w:rsidR="007922A7" w:rsidRDefault="007922A7"/>
    <w:p w:rsidR="007922A7" w:rsidRDefault="00F50778">
      <w:r>
        <w:t>Educational development is…</w:t>
      </w:r>
    </w:p>
    <w:p w:rsidR="00F50778" w:rsidRDefault="00F50778"/>
    <w:p w:rsidR="00F50778" w:rsidRDefault="00F50778"/>
    <w:p w:rsidR="0002239D" w:rsidRDefault="0002239D"/>
    <w:p w:rsidR="00F50778" w:rsidRDefault="00F50778"/>
    <w:p w:rsidR="007922A7" w:rsidRDefault="00F50778">
      <w:r>
        <w:t xml:space="preserve">I know what I know about educational development based on… (Reading academic literature about it? </w:t>
      </w:r>
      <w:proofErr w:type="gramStart"/>
      <w:r>
        <w:t>Courses?</w:t>
      </w:r>
      <w:proofErr w:type="gramEnd"/>
      <w:r>
        <w:t xml:space="preserve"> </w:t>
      </w:r>
      <w:proofErr w:type="gramStart"/>
      <w:r>
        <w:t>Research projects?</w:t>
      </w:r>
      <w:proofErr w:type="gramEnd"/>
      <w:r>
        <w:t xml:space="preserve"> </w:t>
      </w:r>
      <w:proofErr w:type="gramStart"/>
      <w:r>
        <w:t>Experiences?</w:t>
      </w:r>
      <w:proofErr w:type="gramEnd"/>
      <w:r>
        <w:t xml:space="preserve"> Specifics here…)</w:t>
      </w:r>
    </w:p>
    <w:p w:rsidR="007922A7" w:rsidRDefault="007922A7"/>
    <w:p w:rsidR="007922A7" w:rsidRDefault="007922A7"/>
    <w:p w:rsidR="005638BE" w:rsidRDefault="005638BE"/>
    <w:p w:rsidR="005638BE" w:rsidRDefault="005638BE" w:rsidP="005638BE"/>
    <w:p w:rsidR="005638BE" w:rsidRPr="005638BE" w:rsidRDefault="005638BE" w:rsidP="005638BE">
      <w:pPr>
        <w:ind w:left="720"/>
      </w:pPr>
      <w:r w:rsidRPr="005638BE">
        <w:t>Therefore, when I consult with a person or group/ facilitate a workshop/ other____</w:t>
      </w:r>
      <w:proofErr w:type="gramStart"/>
      <w:r w:rsidRPr="005638BE">
        <w:t>_ ,</w:t>
      </w:r>
      <w:proofErr w:type="gramEnd"/>
      <w:r w:rsidRPr="005638BE">
        <w:t xml:space="preserve"> I…</w:t>
      </w:r>
    </w:p>
    <w:p w:rsidR="005638BE" w:rsidRDefault="005638BE"/>
    <w:p w:rsidR="007922A7" w:rsidRDefault="007922A7"/>
    <w:p w:rsidR="007922A7" w:rsidRDefault="007922A7"/>
    <w:p w:rsidR="007922A7" w:rsidRDefault="007922A7"/>
    <w:p w:rsidR="0002239D" w:rsidRDefault="0002239D"/>
    <w:p w:rsidR="00F50778" w:rsidRDefault="00F50778"/>
    <w:p w:rsidR="005638BE" w:rsidRDefault="005638BE"/>
    <w:p w:rsidR="005638BE" w:rsidRDefault="007922A7">
      <w:proofErr w:type="gramStart"/>
      <w:r>
        <w:t>or</w:t>
      </w:r>
      <w:proofErr w:type="gramEnd"/>
      <w:r>
        <w:t xml:space="preserve"> go the other direction… (</w:t>
      </w:r>
      <w:proofErr w:type="gramStart"/>
      <w:r>
        <w:t>turn</w:t>
      </w:r>
      <w:proofErr w:type="gramEnd"/>
      <w:r>
        <w:t xml:space="preserve"> the page)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4"/>
        <w:gridCol w:w="2214"/>
        <w:gridCol w:w="2214"/>
        <w:gridCol w:w="2214"/>
      </w:tblGrid>
      <w:tr w:rsidR="007922A7">
        <w:tc>
          <w:tcPr>
            <w:tcW w:w="2214" w:type="dxa"/>
          </w:tcPr>
          <w:p w:rsidR="007922A7" w:rsidRPr="0002239D" w:rsidRDefault="007922A7" w:rsidP="0002239D">
            <w:pPr>
              <w:rPr>
                <w:b/>
                <w:sz w:val="22"/>
                <w:szCs w:val="22"/>
              </w:rPr>
            </w:pPr>
            <w:r w:rsidRPr="0002239D">
              <w:rPr>
                <w:b/>
                <w:sz w:val="22"/>
                <w:szCs w:val="22"/>
              </w:rPr>
              <w:t xml:space="preserve">Things I do in </w:t>
            </w:r>
            <w:r w:rsidR="0002239D">
              <w:rPr>
                <w:b/>
                <w:sz w:val="22"/>
                <w:szCs w:val="22"/>
              </w:rPr>
              <w:t>my everyday work</w:t>
            </w:r>
          </w:p>
        </w:tc>
        <w:tc>
          <w:tcPr>
            <w:tcW w:w="2214" w:type="dxa"/>
          </w:tcPr>
          <w:p w:rsidR="007922A7" w:rsidRPr="0002239D" w:rsidRDefault="007922A7">
            <w:pPr>
              <w:rPr>
                <w:b/>
                <w:sz w:val="22"/>
                <w:szCs w:val="22"/>
              </w:rPr>
            </w:pPr>
            <w:r w:rsidRPr="0002239D">
              <w:rPr>
                <w:b/>
                <w:sz w:val="22"/>
                <w:szCs w:val="22"/>
              </w:rPr>
              <w:t>Why I think I do these things</w:t>
            </w:r>
          </w:p>
        </w:tc>
        <w:tc>
          <w:tcPr>
            <w:tcW w:w="2214" w:type="dxa"/>
          </w:tcPr>
          <w:p w:rsidR="007922A7" w:rsidRPr="0002239D" w:rsidRDefault="0002239D" w:rsidP="0002239D">
            <w:pPr>
              <w:rPr>
                <w:b/>
                <w:sz w:val="22"/>
                <w:szCs w:val="22"/>
              </w:rPr>
            </w:pPr>
            <w:r>
              <w:rPr>
                <w:b/>
                <w:sz w:val="22"/>
                <w:szCs w:val="22"/>
              </w:rPr>
              <w:t>Sources</w:t>
            </w:r>
            <w:r w:rsidR="007922A7" w:rsidRPr="0002239D">
              <w:rPr>
                <w:b/>
                <w:sz w:val="22"/>
                <w:szCs w:val="22"/>
              </w:rPr>
              <w:t xml:space="preserve"> for my thinking </w:t>
            </w:r>
            <w:r>
              <w:rPr>
                <w:b/>
                <w:sz w:val="22"/>
                <w:szCs w:val="22"/>
              </w:rPr>
              <w:t>from</w:t>
            </w:r>
            <w:r w:rsidR="007922A7" w:rsidRPr="0002239D">
              <w:rPr>
                <w:b/>
                <w:sz w:val="22"/>
                <w:szCs w:val="22"/>
              </w:rPr>
              <w:t xml:space="preserve"> liter</w:t>
            </w:r>
            <w:r>
              <w:rPr>
                <w:b/>
                <w:sz w:val="22"/>
                <w:szCs w:val="22"/>
              </w:rPr>
              <w:t>ature or</w:t>
            </w:r>
            <w:r w:rsidR="007922A7" w:rsidRPr="0002239D">
              <w:rPr>
                <w:b/>
                <w:sz w:val="22"/>
                <w:szCs w:val="22"/>
              </w:rPr>
              <w:t xml:space="preserve"> </w:t>
            </w:r>
            <w:r>
              <w:rPr>
                <w:b/>
                <w:sz w:val="22"/>
                <w:szCs w:val="22"/>
              </w:rPr>
              <w:t>practice</w:t>
            </w:r>
          </w:p>
        </w:tc>
        <w:tc>
          <w:tcPr>
            <w:tcW w:w="2214" w:type="dxa"/>
          </w:tcPr>
          <w:p w:rsidR="007922A7" w:rsidRPr="0002239D" w:rsidRDefault="007922A7">
            <w:pPr>
              <w:rPr>
                <w:b/>
                <w:sz w:val="22"/>
                <w:szCs w:val="22"/>
              </w:rPr>
            </w:pPr>
            <w:r w:rsidRPr="0002239D">
              <w:rPr>
                <w:b/>
                <w:sz w:val="22"/>
                <w:szCs w:val="22"/>
              </w:rPr>
              <w:t>Restate this the other direction</w:t>
            </w:r>
          </w:p>
        </w:tc>
      </w:tr>
      <w:tr w:rsidR="007922A7">
        <w:tc>
          <w:tcPr>
            <w:tcW w:w="2214" w:type="dxa"/>
          </w:tcPr>
          <w:p w:rsidR="007922A7" w:rsidRPr="0002239D" w:rsidRDefault="00F50778">
            <w:pPr>
              <w:rPr>
                <w:i/>
                <w:sz w:val="18"/>
                <w:szCs w:val="18"/>
              </w:rPr>
            </w:pPr>
            <w:r w:rsidRPr="0002239D">
              <w:rPr>
                <w:i/>
                <w:sz w:val="18"/>
                <w:szCs w:val="18"/>
              </w:rPr>
              <w:t>I try to add a link to some kind of timely tip and a current controversy when advertising our regular workshops</w:t>
            </w:r>
            <w:r w:rsidR="0002239D" w:rsidRPr="0002239D">
              <w:rPr>
                <w:i/>
                <w:sz w:val="18"/>
                <w:szCs w:val="18"/>
              </w:rPr>
              <w:t xml:space="preserve"> – which I limit to once-a-month emails in general</w:t>
            </w:r>
          </w:p>
        </w:tc>
        <w:tc>
          <w:tcPr>
            <w:tcW w:w="2214" w:type="dxa"/>
          </w:tcPr>
          <w:p w:rsidR="007922A7" w:rsidRPr="0002239D" w:rsidRDefault="00F50778" w:rsidP="0002239D">
            <w:pPr>
              <w:rPr>
                <w:i/>
                <w:sz w:val="18"/>
                <w:szCs w:val="18"/>
              </w:rPr>
            </w:pPr>
            <w:r w:rsidRPr="0002239D">
              <w:rPr>
                <w:i/>
                <w:sz w:val="18"/>
                <w:szCs w:val="18"/>
              </w:rPr>
              <w:t>Faculty will notice things if they are relevant to the time of term –</w:t>
            </w:r>
            <w:r w:rsidR="0002239D" w:rsidRPr="0002239D">
              <w:rPr>
                <w:i/>
                <w:sz w:val="18"/>
                <w:szCs w:val="18"/>
              </w:rPr>
              <w:t xml:space="preserve"> </w:t>
            </w:r>
            <w:proofErr w:type="spellStart"/>
            <w:r w:rsidR="0002239D" w:rsidRPr="0002239D">
              <w:rPr>
                <w:i/>
                <w:sz w:val="18"/>
                <w:szCs w:val="18"/>
              </w:rPr>
              <w:t>startings</w:t>
            </w:r>
            <w:proofErr w:type="spellEnd"/>
            <w:r w:rsidR="0002239D" w:rsidRPr="0002239D">
              <w:rPr>
                <w:i/>
                <w:sz w:val="18"/>
                <w:szCs w:val="18"/>
              </w:rPr>
              <w:t xml:space="preserve"> and endings, exam review, midterm feedback etc.</w:t>
            </w:r>
            <w:r w:rsidRPr="0002239D">
              <w:rPr>
                <w:i/>
                <w:sz w:val="18"/>
                <w:szCs w:val="18"/>
              </w:rPr>
              <w:t xml:space="preserve"> And 100% of them are critical thinkers, so they appreciate </w:t>
            </w:r>
            <w:r w:rsidR="0002239D" w:rsidRPr="0002239D">
              <w:rPr>
                <w:i/>
                <w:sz w:val="18"/>
                <w:szCs w:val="18"/>
              </w:rPr>
              <w:t>my</w:t>
            </w:r>
            <w:r w:rsidRPr="0002239D">
              <w:rPr>
                <w:i/>
                <w:sz w:val="18"/>
                <w:szCs w:val="18"/>
              </w:rPr>
              <w:t xml:space="preserve"> </w:t>
            </w:r>
            <w:proofErr w:type="spellStart"/>
            <w:r w:rsidRPr="0002239D">
              <w:rPr>
                <w:i/>
                <w:sz w:val="18"/>
                <w:szCs w:val="18"/>
              </w:rPr>
              <w:t>honouring</w:t>
            </w:r>
            <w:proofErr w:type="spellEnd"/>
            <w:r w:rsidRPr="0002239D">
              <w:rPr>
                <w:i/>
                <w:sz w:val="18"/>
                <w:szCs w:val="18"/>
              </w:rPr>
              <w:t xml:space="preserve"> that by offering them a topical higher </w:t>
            </w:r>
            <w:proofErr w:type="spellStart"/>
            <w:r w:rsidRPr="0002239D">
              <w:rPr>
                <w:i/>
                <w:sz w:val="18"/>
                <w:szCs w:val="18"/>
              </w:rPr>
              <w:t>ed</w:t>
            </w:r>
            <w:proofErr w:type="spellEnd"/>
            <w:r w:rsidRPr="0002239D">
              <w:rPr>
                <w:i/>
                <w:sz w:val="18"/>
                <w:szCs w:val="18"/>
              </w:rPr>
              <w:t xml:space="preserve"> “controversy” to think about rather than just preach at them about proper practice.</w:t>
            </w:r>
          </w:p>
        </w:tc>
        <w:tc>
          <w:tcPr>
            <w:tcW w:w="2214" w:type="dxa"/>
          </w:tcPr>
          <w:p w:rsidR="007922A7" w:rsidRPr="0002239D" w:rsidRDefault="0002239D">
            <w:pPr>
              <w:rPr>
                <w:i/>
                <w:sz w:val="18"/>
                <w:szCs w:val="18"/>
              </w:rPr>
            </w:pPr>
            <w:r w:rsidRPr="0002239D">
              <w:rPr>
                <w:i/>
                <w:sz w:val="18"/>
                <w:szCs w:val="18"/>
              </w:rPr>
              <w:t>Reviewing literature about faculty workload, attending workshops on effective communications, positive feedback on my previous efforts to connect with faculty or TAs at each place I’ve worked</w:t>
            </w:r>
          </w:p>
        </w:tc>
        <w:tc>
          <w:tcPr>
            <w:tcW w:w="2214" w:type="dxa"/>
          </w:tcPr>
          <w:p w:rsidR="007922A7" w:rsidRPr="0002239D" w:rsidRDefault="0002239D">
            <w:pPr>
              <w:rPr>
                <w:i/>
                <w:sz w:val="18"/>
                <w:szCs w:val="18"/>
              </w:rPr>
            </w:pPr>
            <w:r w:rsidRPr="0002239D">
              <w:rPr>
                <w:i/>
                <w:sz w:val="18"/>
                <w:szCs w:val="18"/>
              </w:rPr>
              <w:t>“Faculty members face significant demands on their time and dislike wasting that time on trivial matters. Therefore in my monthly communications I attempt to have an immediately applicable teaching tip and a link to a thoughtful post about an issue or controversy in higher education today”</w:t>
            </w:r>
          </w:p>
        </w:tc>
      </w:tr>
      <w:tr w:rsidR="007922A7">
        <w:tc>
          <w:tcPr>
            <w:tcW w:w="2214" w:type="dxa"/>
          </w:tcPr>
          <w:p w:rsidR="007922A7" w:rsidRDefault="007922A7"/>
          <w:p w:rsidR="007922A7" w:rsidRDefault="007922A7"/>
          <w:p w:rsidR="007922A7" w:rsidRDefault="007922A7"/>
          <w:p w:rsidR="007922A7" w:rsidRDefault="007922A7"/>
          <w:p w:rsidR="007922A7" w:rsidRDefault="007922A7"/>
          <w:p w:rsidR="007922A7" w:rsidRDefault="007922A7"/>
          <w:p w:rsidR="0002239D" w:rsidRDefault="0002239D"/>
          <w:p w:rsidR="007922A7" w:rsidRDefault="007922A7"/>
          <w:p w:rsidR="0002239D" w:rsidRDefault="0002239D"/>
          <w:p w:rsidR="007922A7" w:rsidRDefault="007922A7"/>
          <w:p w:rsidR="007922A7" w:rsidRDefault="007922A7"/>
        </w:tc>
        <w:tc>
          <w:tcPr>
            <w:tcW w:w="2214" w:type="dxa"/>
          </w:tcPr>
          <w:p w:rsidR="007922A7" w:rsidRDefault="007922A7"/>
        </w:tc>
        <w:tc>
          <w:tcPr>
            <w:tcW w:w="2214" w:type="dxa"/>
          </w:tcPr>
          <w:p w:rsidR="007922A7" w:rsidRDefault="007922A7"/>
        </w:tc>
        <w:tc>
          <w:tcPr>
            <w:tcW w:w="2214" w:type="dxa"/>
          </w:tcPr>
          <w:p w:rsidR="007922A7" w:rsidRDefault="007922A7"/>
        </w:tc>
      </w:tr>
      <w:tr w:rsidR="007922A7">
        <w:tc>
          <w:tcPr>
            <w:tcW w:w="2214" w:type="dxa"/>
          </w:tcPr>
          <w:p w:rsidR="007922A7" w:rsidRDefault="007922A7"/>
          <w:p w:rsidR="007922A7" w:rsidRDefault="007922A7"/>
          <w:p w:rsidR="007922A7" w:rsidRDefault="007922A7"/>
          <w:p w:rsidR="007922A7" w:rsidRDefault="007922A7"/>
          <w:p w:rsidR="007922A7" w:rsidRDefault="007922A7"/>
          <w:p w:rsidR="007922A7" w:rsidRDefault="007922A7"/>
          <w:p w:rsidR="007922A7" w:rsidRDefault="007922A7"/>
          <w:p w:rsidR="007922A7" w:rsidRDefault="007922A7"/>
          <w:p w:rsidR="0002239D" w:rsidRDefault="0002239D"/>
          <w:p w:rsidR="007922A7" w:rsidRDefault="007922A7"/>
          <w:p w:rsidR="007922A7" w:rsidRDefault="007922A7"/>
        </w:tc>
        <w:tc>
          <w:tcPr>
            <w:tcW w:w="2214" w:type="dxa"/>
          </w:tcPr>
          <w:p w:rsidR="007922A7" w:rsidRDefault="007922A7"/>
        </w:tc>
        <w:tc>
          <w:tcPr>
            <w:tcW w:w="2214" w:type="dxa"/>
          </w:tcPr>
          <w:p w:rsidR="007922A7" w:rsidRDefault="007922A7"/>
        </w:tc>
        <w:tc>
          <w:tcPr>
            <w:tcW w:w="2214" w:type="dxa"/>
          </w:tcPr>
          <w:p w:rsidR="007922A7" w:rsidRDefault="007922A7"/>
        </w:tc>
      </w:tr>
      <w:tr w:rsidR="00F50778">
        <w:tc>
          <w:tcPr>
            <w:tcW w:w="2214" w:type="dxa"/>
          </w:tcPr>
          <w:p w:rsidR="00F50778" w:rsidRDefault="00F50778"/>
          <w:p w:rsidR="00F50778" w:rsidRDefault="00F50778"/>
          <w:p w:rsidR="00F50778" w:rsidRDefault="00F50778"/>
          <w:p w:rsidR="00F50778" w:rsidRDefault="00F50778"/>
          <w:p w:rsidR="00F50778" w:rsidRDefault="00F50778"/>
          <w:p w:rsidR="00F50778" w:rsidRDefault="00F50778"/>
          <w:p w:rsidR="00F50778" w:rsidRDefault="00F50778"/>
          <w:p w:rsidR="00F50778" w:rsidRDefault="00F50778"/>
          <w:p w:rsidR="00F50778" w:rsidRDefault="00F50778"/>
          <w:p w:rsidR="00F50778" w:rsidRDefault="00F50778"/>
          <w:p w:rsidR="00F50778" w:rsidRDefault="00F50778"/>
        </w:tc>
        <w:tc>
          <w:tcPr>
            <w:tcW w:w="2214" w:type="dxa"/>
          </w:tcPr>
          <w:p w:rsidR="00F50778" w:rsidRDefault="00F50778"/>
        </w:tc>
        <w:tc>
          <w:tcPr>
            <w:tcW w:w="2214" w:type="dxa"/>
          </w:tcPr>
          <w:p w:rsidR="00F50778" w:rsidRDefault="00F50778"/>
        </w:tc>
        <w:tc>
          <w:tcPr>
            <w:tcW w:w="2214" w:type="dxa"/>
          </w:tcPr>
          <w:p w:rsidR="00F50778" w:rsidRDefault="00F50778"/>
        </w:tc>
      </w:tr>
    </w:tbl>
    <w:p w:rsidR="007922A7" w:rsidRDefault="007922A7"/>
    <w:sectPr w:rsidR="007922A7" w:rsidSect="009C0F34">
      <w:foot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CDB" w:rsidRDefault="003D6CDB" w:rsidP="00557191">
      <w:r>
        <w:separator/>
      </w:r>
    </w:p>
  </w:endnote>
  <w:endnote w:type="continuationSeparator" w:id="0">
    <w:p w:rsidR="003D6CDB" w:rsidRDefault="003D6CDB" w:rsidP="00557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778" w:rsidRPr="00F50778" w:rsidRDefault="00F50778">
    <w:pPr>
      <w:pStyle w:val="Footer"/>
      <w:rPr>
        <w:sz w:val="16"/>
        <w:szCs w:val="16"/>
      </w:rPr>
    </w:pPr>
    <w:r w:rsidRPr="00F50778">
      <w:rPr>
        <w:sz w:val="16"/>
        <w:szCs w:val="16"/>
      </w:rPr>
      <w:t>Trevor Holmes and Julie Timmermans, Centre for Teaching Excellence, University of Waterloo; Version 1.0 last updated Feb 2012</w:t>
    </w:r>
  </w:p>
  <w:p w:rsidR="00F50778" w:rsidRDefault="00F507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CDB" w:rsidRDefault="003D6CDB" w:rsidP="00557191">
      <w:r>
        <w:separator/>
      </w:r>
    </w:p>
  </w:footnote>
  <w:footnote w:type="continuationSeparator" w:id="0">
    <w:p w:rsidR="003D6CDB" w:rsidRDefault="003D6CDB" w:rsidP="005571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80A"/>
    <w:rsid w:val="0002239D"/>
    <w:rsid w:val="000B204A"/>
    <w:rsid w:val="000E5C70"/>
    <w:rsid w:val="00196653"/>
    <w:rsid w:val="003D6CDB"/>
    <w:rsid w:val="00557191"/>
    <w:rsid w:val="005638BE"/>
    <w:rsid w:val="00755388"/>
    <w:rsid w:val="007922A7"/>
    <w:rsid w:val="009C0F34"/>
    <w:rsid w:val="00CE217A"/>
    <w:rsid w:val="00F0180A"/>
    <w:rsid w:val="00F50778"/>
    <w:rsid w:val="00F94EE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F34"/>
    <w:rPr>
      <w:sz w:val="24"/>
      <w:lang w:val="en-US"/>
    </w:rPr>
  </w:style>
  <w:style w:type="paragraph" w:styleId="Heading1">
    <w:name w:val="heading 1"/>
    <w:basedOn w:val="Normal"/>
    <w:next w:val="Normal"/>
    <w:qFormat/>
    <w:rsid w:val="009C0F34"/>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7191"/>
    <w:pPr>
      <w:tabs>
        <w:tab w:val="center" w:pos="4680"/>
        <w:tab w:val="right" w:pos="9360"/>
      </w:tabs>
    </w:pPr>
  </w:style>
  <w:style w:type="character" w:customStyle="1" w:styleId="HeaderChar">
    <w:name w:val="Header Char"/>
    <w:basedOn w:val="DefaultParagraphFont"/>
    <w:link w:val="Header"/>
    <w:uiPriority w:val="99"/>
    <w:rsid w:val="00557191"/>
    <w:rPr>
      <w:sz w:val="24"/>
      <w:lang w:val="en-US"/>
    </w:rPr>
  </w:style>
  <w:style w:type="paragraph" w:styleId="Footer">
    <w:name w:val="footer"/>
    <w:basedOn w:val="Normal"/>
    <w:link w:val="FooterChar"/>
    <w:uiPriority w:val="99"/>
    <w:unhideWhenUsed/>
    <w:rsid w:val="00557191"/>
    <w:pPr>
      <w:tabs>
        <w:tab w:val="center" w:pos="4680"/>
        <w:tab w:val="right" w:pos="9360"/>
      </w:tabs>
    </w:pPr>
  </w:style>
  <w:style w:type="character" w:customStyle="1" w:styleId="FooterChar">
    <w:name w:val="Footer Char"/>
    <w:basedOn w:val="DefaultParagraphFont"/>
    <w:link w:val="Footer"/>
    <w:uiPriority w:val="99"/>
    <w:rsid w:val="00557191"/>
    <w:rPr>
      <w:sz w:val="24"/>
      <w:lang w:val="en-US"/>
    </w:rPr>
  </w:style>
  <w:style w:type="paragraph" w:styleId="BalloonText">
    <w:name w:val="Balloon Text"/>
    <w:basedOn w:val="Normal"/>
    <w:link w:val="BalloonTextChar"/>
    <w:uiPriority w:val="99"/>
    <w:semiHidden/>
    <w:unhideWhenUsed/>
    <w:rsid w:val="00557191"/>
    <w:rPr>
      <w:rFonts w:ascii="Tahoma" w:hAnsi="Tahoma" w:cs="Tahoma"/>
      <w:sz w:val="16"/>
      <w:szCs w:val="16"/>
    </w:rPr>
  </w:style>
  <w:style w:type="character" w:customStyle="1" w:styleId="BalloonTextChar">
    <w:name w:val="Balloon Text Char"/>
    <w:basedOn w:val="DefaultParagraphFont"/>
    <w:link w:val="BalloonText"/>
    <w:uiPriority w:val="99"/>
    <w:semiHidden/>
    <w:rsid w:val="00557191"/>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360</Words>
  <Characters>2055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Worksheet – Teaching Philosophy Statements</vt:lpstr>
    </vt:vector>
  </TitlesOfParts>
  <Company>University of Guelph</Company>
  <LinksUpToDate>false</LinksUpToDate>
  <CharactersWithSpaces>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 – Teaching Philosophy Statements</dc:title>
  <dc:creator>Trevor Holmes</dc:creator>
  <cp:lastModifiedBy>tholmes</cp:lastModifiedBy>
  <cp:revision>6</cp:revision>
  <cp:lastPrinted>2011-06-20T19:58:00Z</cp:lastPrinted>
  <dcterms:created xsi:type="dcterms:W3CDTF">2012-02-13T17:59:00Z</dcterms:created>
  <dcterms:modified xsi:type="dcterms:W3CDTF">2012-02-13T18:40:00Z</dcterms:modified>
</cp:coreProperties>
</file>