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2D" w:rsidRPr="00F0212D" w:rsidRDefault="00F0212D" w:rsidP="00F0212D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r>
        <w:rPr>
          <w:rFonts w:ascii="Times" w:eastAsia="Times" w:hAnsi="Times" w:cs="Times New Roman"/>
          <w:sz w:val="24"/>
          <w:szCs w:val="20"/>
          <w:lang w:val="en-US" w:eastAsia="en-CA"/>
        </w:rPr>
        <w:t>Educational Developer Dossier: Possible Templates</w:t>
      </w:r>
    </w:p>
    <w:p w:rsidR="00F0212D" w:rsidRPr="00F0212D" w:rsidRDefault="00F0212D" w:rsidP="00F0212D">
      <w:pPr>
        <w:keepNext/>
        <w:spacing w:after="0" w:line="240" w:lineRule="auto"/>
        <w:outlineLvl w:val="0"/>
        <w:rPr>
          <w:rFonts w:ascii="Times" w:eastAsia="Times" w:hAnsi="Times" w:cs="Times New Roman"/>
          <w:i/>
          <w:sz w:val="24"/>
          <w:szCs w:val="20"/>
          <w:lang w:val="en-US" w:eastAsia="en-CA"/>
        </w:rPr>
      </w:pPr>
      <w:r w:rsidRPr="00F0212D">
        <w:rPr>
          <w:rFonts w:ascii="Times" w:eastAsia="Times" w:hAnsi="Times" w:cs="Times New Roman"/>
          <w:i/>
          <w:sz w:val="24"/>
          <w:szCs w:val="20"/>
          <w:lang w:val="en-US" w:eastAsia="en-CA"/>
        </w:rPr>
        <w:t>Trevor Holmes</w:t>
      </w:r>
      <w:r>
        <w:rPr>
          <w:rFonts w:ascii="Times" w:eastAsia="Times" w:hAnsi="Times" w:cs="Times New Roman"/>
          <w:i/>
          <w:sz w:val="24"/>
          <w:szCs w:val="20"/>
          <w:lang w:val="en-US" w:eastAsia="en-CA"/>
        </w:rPr>
        <w:t>, University of Waterloo</w:t>
      </w:r>
    </w:p>
    <w:p w:rsidR="00F0212D" w:rsidRPr="00F0212D" w:rsidRDefault="00F0212D" w:rsidP="00F0212D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0212D" w:rsidRPr="00F0212D" w:rsidRDefault="00F0212D" w:rsidP="00F0212D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r w:rsidRPr="00F0212D">
        <w:rPr>
          <w:rFonts w:ascii="Times" w:eastAsia="Times" w:hAnsi="Times" w:cs="Times New Roman"/>
          <w:sz w:val="24"/>
          <w:szCs w:val="20"/>
          <w:lang w:val="en-US" w:eastAsia="en-CA"/>
        </w:rPr>
        <w:t xml:space="preserve">Think of your </w:t>
      </w:r>
      <w:r>
        <w:rPr>
          <w:rFonts w:ascii="Times" w:eastAsia="Times" w:hAnsi="Times" w:cs="Times New Roman"/>
          <w:sz w:val="24"/>
          <w:szCs w:val="20"/>
          <w:lang w:val="en-US" w:eastAsia="en-CA"/>
        </w:rPr>
        <w:t>educational developer</w:t>
      </w:r>
      <w:r w:rsidRPr="00F0212D">
        <w:rPr>
          <w:rFonts w:ascii="Times" w:eastAsia="Times" w:hAnsi="Times" w:cs="Times New Roman"/>
          <w:sz w:val="24"/>
          <w:szCs w:val="20"/>
          <w:lang w:val="en-US" w:eastAsia="en-CA"/>
        </w:rPr>
        <w:t xml:space="preserve"> dossier or portfolio as a set of claims about your </w:t>
      </w:r>
      <w:r>
        <w:rPr>
          <w:rFonts w:ascii="Times" w:eastAsia="Times" w:hAnsi="Times" w:cs="Times New Roman"/>
          <w:sz w:val="24"/>
          <w:szCs w:val="20"/>
          <w:lang w:val="en-US" w:eastAsia="en-CA"/>
        </w:rPr>
        <w:t>work</w:t>
      </w:r>
      <w:r w:rsidRPr="00F0212D">
        <w:rPr>
          <w:rFonts w:ascii="Times" w:eastAsia="Times" w:hAnsi="Times" w:cs="Times New Roman"/>
          <w:sz w:val="24"/>
          <w:szCs w:val="20"/>
          <w:lang w:val="en-US" w:eastAsia="en-CA"/>
        </w:rPr>
        <w:t xml:space="preserve">, examples from your actual practice, and evidence from a variety of sources, all nicely triangulated and consistently portrayed. There should be a few pages up front and the evidence to support the claims in those pages can be provided in appendices. The first pages </w:t>
      </w:r>
      <w:r w:rsidR="004577D9">
        <w:rPr>
          <w:rFonts w:ascii="Times" w:eastAsia="Times" w:hAnsi="Times" w:cs="Times New Roman"/>
          <w:sz w:val="24"/>
          <w:szCs w:val="20"/>
          <w:lang w:val="en-US" w:eastAsia="en-CA"/>
        </w:rPr>
        <w:t xml:space="preserve">can be divided into subheadings, perhaps </w:t>
      </w:r>
      <w:r w:rsidRPr="00F0212D">
        <w:rPr>
          <w:rFonts w:ascii="Times" w:eastAsia="Times" w:hAnsi="Times" w:cs="Times New Roman"/>
          <w:sz w:val="24"/>
          <w:szCs w:val="20"/>
          <w:lang w:val="en-US" w:eastAsia="en-CA"/>
        </w:rPr>
        <w:t>like these:</w:t>
      </w:r>
    </w:p>
    <w:p w:rsidR="00F0212D" w:rsidRPr="00F0212D" w:rsidRDefault="00F0212D" w:rsidP="00F0212D">
      <w:pPr>
        <w:spacing w:after="0" w:line="240" w:lineRule="auto"/>
        <w:ind w:left="360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0212D" w:rsidRPr="001C7DC3" w:rsidRDefault="00F0212D" w:rsidP="00F0212D">
      <w:pPr>
        <w:numPr>
          <w:ilvl w:val="0"/>
          <w:numId w:val="1"/>
        </w:num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Educational Development Philosophy (Goal Statement, Core Principles)</w:t>
      </w:r>
    </w:p>
    <w:p w:rsidR="00F0212D" w:rsidRPr="001C7DC3" w:rsidRDefault="00F0212D" w:rsidP="00F0212D">
      <w:pPr>
        <w:numPr>
          <w:ilvl w:val="0"/>
          <w:numId w:val="1"/>
        </w:num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Responsibilities to Date in current position (narrate and list)</w:t>
      </w:r>
    </w:p>
    <w:p w:rsidR="00F0212D" w:rsidRPr="001C7DC3" w:rsidRDefault="00F0212D" w:rsidP="00F0212D">
      <w:pPr>
        <w:numPr>
          <w:ilvl w:val="0"/>
          <w:numId w:val="1"/>
        </w:num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Effectiveness (sharing results of development work, awards or nominations, letters from former students or from peers)</w:t>
      </w:r>
    </w:p>
    <w:p w:rsidR="00F0212D" w:rsidRPr="001C7DC3" w:rsidRDefault="00F0212D" w:rsidP="00F0212D">
      <w:pPr>
        <w:numPr>
          <w:ilvl w:val="0"/>
          <w:numId w:val="1"/>
        </w:num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Contributions to the institution or to the field (committee work, conferences, special projects, or publications locally, University-wide, or beyond)</w:t>
      </w:r>
    </w:p>
    <w:p w:rsidR="00F0212D" w:rsidRPr="001C7DC3" w:rsidRDefault="00F0212D" w:rsidP="00F0212D">
      <w:pPr>
        <w:numPr>
          <w:ilvl w:val="0"/>
          <w:numId w:val="1"/>
        </w:num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Ongoing Professional Development (workshops or conferences attended, future plans)</w:t>
      </w:r>
    </w:p>
    <w:p w:rsidR="00F0212D" w:rsidRPr="00F0212D" w:rsidRDefault="00F0212D" w:rsidP="00F0212D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0212D" w:rsidRPr="00F0212D" w:rsidRDefault="00F0212D" w:rsidP="00F0212D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r w:rsidRPr="00F0212D">
        <w:rPr>
          <w:rFonts w:ascii="Times" w:eastAsia="Times" w:hAnsi="Times" w:cs="Times New Roman"/>
          <w:sz w:val="24"/>
          <w:szCs w:val="20"/>
          <w:lang w:val="en-US" w:eastAsia="en-CA"/>
        </w:rPr>
        <w:t xml:space="preserve">Appendices could be </w:t>
      </w:r>
    </w:p>
    <w:p w:rsidR="00F0212D" w:rsidRPr="00F0212D" w:rsidRDefault="00F0212D" w:rsidP="00F0212D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0212D" w:rsidRPr="001C7DC3" w:rsidRDefault="00F0212D" w:rsidP="00F0212D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 xml:space="preserve">A: Workshop or Consultation materials </w:t>
      </w:r>
      <w:proofErr w:type="gramStart"/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Created</w:t>
      </w:r>
      <w:proofErr w:type="gramEnd"/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 xml:space="preserve"> or Adapted</w:t>
      </w:r>
    </w:p>
    <w:p w:rsidR="00F0212D" w:rsidRPr="001C7DC3" w:rsidRDefault="00F0212D" w:rsidP="00F0212D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B: Showcase Workshop or Blog Post or Program (go into detail)</w:t>
      </w:r>
    </w:p>
    <w:p w:rsidR="00F0212D" w:rsidRPr="001C7DC3" w:rsidRDefault="00F0212D" w:rsidP="00F0212D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C: Evaluation Form and Data</w:t>
      </w:r>
    </w:p>
    <w:p w:rsidR="00F0212D" w:rsidRPr="001C7DC3" w:rsidRDefault="00F0212D" w:rsidP="00F0212D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D: Comments from Evaluations, Thanks, Letters from those you’ve helped and so on</w:t>
      </w:r>
    </w:p>
    <w:p w:rsidR="00F0212D" w:rsidRPr="001C7DC3" w:rsidRDefault="00F0212D" w:rsidP="00F0212D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E: Letters from current or former peers</w:t>
      </w:r>
    </w:p>
    <w:p w:rsidR="00F105D3" w:rsidRDefault="00F105D3" w:rsidP="00F0212D">
      <w:pPr>
        <w:pBdr>
          <w:bottom w:val="dotted" w:sz="24" w:space="1" w:color="auto"/>
        </w:pBdr>
        <w:spacing w:after="0" w:line="240" w:lineRule="auto"/>
        <w:ind w:left="720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4577D9" w:rsidRDefault="004577D9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4577D9" w:rsidRDefault="004577D9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r>
        <w:rPr>
          <w:rFonts w:ascii="Times" w:eastAsia="Times" w:hAnsi="Times" w:cs="Times New Roman"/>
          <w:sz w:val="24"/>
          <w:szCs w:val="20"/>
          <w:lang w:val="en-US" w:eastAsia="en-CA"/>
        </w:rPr>
        <w:t>An example from real life (purposes: performance review, workshop on dossiers, getting permanent and contract jobs)</w:t>
      </w:r>
    </w:p>
    <w:p w:rsidR="004577D9" w:rsidRDefault="004577D9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105D3" w:rsidRDefault="00F105D3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r>
        <w:rPr>
          <w:rFonts w:ascii="Times" w:eastAsia="Times" w:hAnsi="Times" w:cs="Times New Roman"/>
          <w:sz w:val="24"/>
          <w:szCs w:val="20"/>
          <w:lang w:val="en-US" w:eastAsia="en-CA"/>
        </w:rPr>
        <w:t>Trevor Holmes, from 2006 (</w:t>
      </w:r>
      <w:r w:rsidR="004577D9">
        <w:rPr>
          <w:rFonts w:ascii="Times" w:eastAsia="Times" w:hAnsi="Times" w:cs="Times New Roman"/>
          <w:sz w:val="24"/>
          <w:szCs w:val="20"/>
          <w:lang w:val="en-US" w:eastAsia="en-CA"/>
        </w:rPr>
        <w:t>Five year mark of full-time ED work)</w:t>
      </w:r>
      <w:r>
        <w:rPr>
          <w:rFonts w:ascii="Times" w:eastAsia="Times" w:hAnsi="Times" w:cs="Times New Roman"/>
          <w:sz w:val="24"/>
          <w:szCs w:val="20"/>
          <w:lang w:val="en-US" w:eastAsia="en-CA"/>
        </w:rPr>
        <w:t>:</w:t>
      </w:r>
    </w:p>
    <w:p w:rsidR="00F105D3" w:rsidRDefault="00F105D3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Commitments, Principles</w:t>
      </w: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Knowing my Learners</w:t>
      </w: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Educational Development Contexts</w:t>
      </w: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An “aha” moment</w:t>
      </w: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Development’s Optimal Environment</w:t>
      </w: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Approach to and Results of Educational Development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Program Planning and Coordination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Individual Consultations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Writing and Communications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Internal and External Collaborations</w:t>
      </w: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Supervising Others</w:t>
      </w:r>
    </w:p>
    <w:p w:rsidR="00F105D3" w:rsidRPr="001C7DC3" w:rsidRDefault="00F105D3" w:rsidP="00F105D3">
      <w:pPr>
        <w:spacing w:after="0" w:line="240" w:lineRule="auto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Seeking Feedback and Future Plans</w:t>
      </w:r>
    </w:p>
    <w:p w:rsidR="00F105D3" w:rsidRDefault="00F105D3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105D3" w:rsidRPr="00F105D3" w:rsidRDefault="00F105D3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u w:val="single"/>
          <w:lang w:val="en-US" w:eastAsia="en-CA"/>
        </w:rPr>
      </w:pPr>
      <w:r w:rsidRPr="00F105D3">
        <w:rPr>
          <w:rFonts w:ascii="Times" w:eastAsia="Times" w:hAnsi="Times" w:cs="Times New Roman"/>
          <w:sz w:val="24"/>
          <w:szCs w:val="20"/>
          <w:u w:val="single"/>
          <w:lang w:val="en-US" w:eastAsia="en-CA"/>
        </w:rPr>
        <w:t>Appendices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A: Letters from Faculty and Staff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B: Use of Index Cards for Reflection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C: Evaluating the Effectiveness of a TA Workshop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D: Evaluating the Effectiveness of a Faculty Workshop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E: Reflections and Directions (newsletter articles)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F: List of Workshops Attended, Planned, and Delivered 2004-2006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G: Selected publications and conference abstracts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H: Thoughts on Educational Development as a Profession and Community</w:t>
      </w:r>
    </w:p>
    <w:p w:rsidR="00F105D3" w:rsidRPr="001C7DC3" w:rsidRDefault="00F105D3" w:rsidP="00F105D3">
      <w:pPr>
        <w:spacing w:after="0" w:line="240" w:lineRule="auto"/>
        <w:ind w:left="720"/>
        <w:rPr>
          <w:rFonts w:ascii="Times" w:eastAsia="Times" w:hAnsi="Times" w:cs="Times New Roman"/>
          <w:sz w:val="20"/>
          <w:szCs w:val="20"/>
          <w:lang w:val="en-US" w:eastAsia="en-CA"/>
        </w:rPr>
      </w:pPr>
      <w:r w:rsidRPr="001C7DC3">
        <w:rPr>
          <w:rFonts w:ascii="Times" w:eastAsia="Times" w:hAnsi="Times" w:cs="Times New Roman"/>
          <w:sz w:val="20"/>
          <w:szCs w:val="20"/>
          <w:lang w:val="en-US" w:eastAsia="en-CA"/>
        </w:rPr>
        <w:t>I: Academic curriculum vitae</w:t>
      </w:r>
    </w:p>
    <w:p w:rsidR="00F105D3" w:rsidRDefault="00F105D3" w:rsidP="00F105D3">
      <w:pPr>
        <w:pBdr>
          <w:bottom w:val="dotted" w:sz="24" w:space="1" w:color="auto"/>
        </w:pBd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1C7DC3" w:rsidRDefault="001C7DC3" w:rsidP="00F105D3">
      <w:pPr>
        <w:pBdr>
          <w:bottom w:val="dotted" w:sz="24" w:space="1" w:color="auto"/>
        </w:pBd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1C7DC3" w:rsidRDefault="001C7DC3" w:rsidP="00F105D3">
      <w:pPr>
        <w:pBdr>
          <w:bottom w:val="dotted" w:sz="24" w:space="1" w:color="auto"/>
        </w:pBd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1C7DC3" w:rsidRDefault="001C7DC3" w:rsidP="00F105D3">
      <w:pPr>
        <w:pBdr>
          <w:bottom w:val="dotted" w:sz="24" w:space="1" w:color="auto"/>
        </w:pBd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1C7DC3" w:rsidRDefault="001C7DC3" w:rsidP="00F105D3">
      <w:pPr>
        <w:pBdr>
          <w:bottom w:val="dotted" w:sz="24" w:space="1" w:color="auto"/>
        </w:pBd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1C7DC3" w:rsidRDefault="001C7DC3" w:rsidP="00F105D3">
      <w:pPr>
        <w:pBdr>
          <w:bottom w:val="dotted" w:sz="24" w:space="1" w:color="auto"/>
        </w:pBd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4577D9" w:rsidRDefault="004577D9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4577D9" w:rsidRDefault="004577D9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r>
        <w:rPr>
          <w:rFonts w:ascii="Times" w:eastAsia="Times" w:hAnsi="Times" w:cs="Times New Roman"/>
          <w:sz w:val="24"/>
          <w:szCs w:val="20"/>
          <w:lang w:val="en-US" w:eastAsia="en-CA"/>
        </w:rPr>
        <w:t>Another example from real life</w:t>
      </w:r>
    </w:p>
    <w:p w:rsidR="004577D9" w:rsidRDefault="004577D9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105D3" w:rsidRDefault="00F105D3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r>
        <w:rPr>
          <w:rFonts w:ascii="Times" w:eastAsia="Times" w:hAnsi="Times" w:cs="Times New Roman"/>
          <w:sz w:val="24"/>
          <w:szCs w:val="20"/>
          <w:lang w:val="en-US" w:eastAsia="en-CA"/>
        </w:rPr>
        <w:t xml:space="preserve">From Wright/Miller </w:t>
      </w:r>
      <w:r w:rsidR="00BC6277">
        <w:rPr>
          <w:rFonts w:ascii="Times" w:eastAsia="Times" w:hAnsi="Times" w:cs="Times New Roman"/>
          <w:sz w:val="24"/>
          <w:szCs w:val="20"/>
          <w:lang w:val="en-US" w:eastAsia="en-CA"/>
        </w:rPr>
        <w:t xml:space="preserve">(2000), Fig. 3 </w:t>
      </w:r>
      <w:proofErr w:type="gramStart"/>
      <w:r w:rsidR="00BC6277" w:rsidRPr="00BC6277">
        <w:rPr>
          <w:rFonts w:ascii="Times" w:eastAsia="Times" w:hAnsi="Times" w:cs="Times New Roman"/>
          <w:i/>
          <w:sz w:val="24"/>
          <w:szCs w:val="20"/>
          <w:lang w:val="en-US" w:eastAsia="en-CA"/>
        </w:rPr>
        <w:t>The</w:t>
      </w:r>
      <w:proofErr w:type="gramEnd"/>
      <w:r w:rsidR="00BC6277" w:rsidRPr="00BC6277">
        <w:rPr>
          <w:rFonts w:ascii="Times" w:eastAsia="Times" w:hAnsi="Times" w:cs="Times New Roman"/>
          <w:i/>
          <w:sz w:val="24"/>
          <w:szCs w:val="20"/>
          <w:lang w:val="en-US" w:eastAsia="en-CA"/>
        </w:rPr>
        <w:t xml:space="preserve"> Alternative portfolio model</w:t>
      </w:r>
      <w:r w:rsidR="00BC6277">
        <w:rPr>
          <w:rFonts w:ascii="Times" w:eastAsia="Times" w:hAnsi="Times" w:cs="Times New Roman"/>
          <w:sz w:val="24"/>
          <w:szCs w:val="20"/>
          <w:lang w:val="en-US" w:eastAsia="en-CA"/>
        </w:rPr>
        <w:t xml:space="preserve">, </w:t>
      </w:r>
      <w:r>
        <w:rPr>
          <w:rFonts w:ascii="Times" w:eastAsia="Times" w:hAnsi="Times" w:cs="Times New Roman"/>
          <w:sz w:val="24"/>
          <w:szCs w:val="20"/>
          <w:lang w:val="en-US" w:eastAsia="en-CA"/>
        </w:rPr>
        <w:t>p27 citing Wilcox (unpublished)</w:t>
      </w:r>
    </w:p>
    <w:p w:rsidR="00F105D3" w:rsidRDefault="00F105D3" w:rsidP="00F105D3">
      <w:pPr>
        <w:spacing w:after="0" w:line="240" w:lineRule="auto"/>
        <w:rPr>
          <w:rFonts w:ascii="Times" w:eastAsia="Times" w:hAnsi="Times" w:cs="Times New Roman"/>
          <w:sz w:val="24"/>
          <w:szCs w:val="20"/>
          <w:lang w:val="en-US" w:eastAsia="en-CA"/>
        </w:rPr>
      </w:pPr>
      <w:bookmarkStart w:id="0" w:name="_GoBack"/>
      <w:bookmarkEnd w:id="0"/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  <w:r w:rsidRPr="00F105D3">
        <w:rPr>
          <w:rFonts w:cstheme="minorHAnsi"/>
          <w:b/>
          <w:bCs/>
          <w:color w:val="000000"/>
          <w:sz w:val="18"/>
          <w:szCs w:val="18"/>
        </w:rPr>
        <w:t>Educational Development Portfolio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Introduction (how educational development differs from faculty development)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Objectives as an Educational Developer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Methods and Outcomes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Objective 1: Help individuals be better teachers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Underlying beliefs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Concrete actions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Objective 2: Promote a culture of teaching in the institution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Underlying beliefs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Concrete actions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Objective 3: Promote change in the larger academy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Underlying beliefs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Concrete actions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Future Directions (organized by objective)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>Summary (synergy among the three objectives)</w:t>
      </w: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:rsidR="00F105D3" w:rsidRPr="00F105D3" w:rsidRDefault="00F105D3" w:rsidP="00F105D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F105D3">
        <w:rPr>
          <w:rFonts w:cstheme="minorHAnsi"/>
          <w:color w:val="000000"/>
          <w:sz w:val="18"/>
          <w:szCs w:val="18"/>
        </w:rPr>
        <w:t xml:space="preserve">Source: </w:t>
      </w:r>
      <w:r w:rsidR="00BC6277">
        <w:rPr>
          <w:rFonts w:cstheme="minorHAnsi"/>
          <w:color w:val="000000"/>
          <w:sz w:val="18"/>
          <w:szCs w:val="18"/>
        </w:rPr>
        <w:t xml:space="preserve">Wright, Alan and Judith Miller (2000). “The Educational developer’s Portfolio” IJAD 5:1, 20-29.  </w:t>
      </w:r>
    </w:p>
    <w:p w:rsidR="00F0212D" w:rsidRDefault="00F0212D" w:rsidP="00F0212D">
      <w:pPr>
        <w:spacing w:after="0" w:line="240" w:lineRule="auto"/>
        <w:ind w:left="720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F0212D" w:rsidRPr="00F0212D" w:rsidRDefault="00F0212D" w:rsidP="00F0212D">
      <w:pPr>
        <w:spacing w:after="0" w:line="240" w:lineRule="auto"/>
        <w:ind w:left="720"/>
        <w:rPr>
          <w:rFonts w:ascii="Times" w:eastAsia="Times" w:hAnsi="Times" w:cs="Times New Roman"/>
          <w:sz w:val="24"/>
          <w:szCs w:val="20"/>
          <w:lang w:val="en-US" w:eastAsia="en-CA"/>
        </w:rPr>
      </w:pPr>
    </w:p>
    <w:p w:rsidR="004B4139" w:rsidRDefault="004B4139"/>
    <w:sectPr w:rsidR="004B4139" w:rsidSect="001C7DC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137FC"/>
    <w:multiLevelType w:val="hybridMultilevel"/>
    <w:tmpl w:val="366A00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12D"/>
    <w:rsid w:val="001C7DC3"/>
    <w:rsid w:val="004577D9"/>
    <w:rsid w:val="004B4139"/>
    <w:rsid w:val="00941704"/>
    <w:rsid w:val="00BC6277"/>
    <w:rsid w:val="00F0212D"/>
    <w:rsid w:val="00F1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tholmes</dc:creator>
  <cp:lastModifiedBy>Holmes, Trevor M</cp:lastModifiedBy>
  <cp:revision>3</cp:revision>
  <dcterms:created xsi:type="dcterms:W3CDTF">2012-02-15T21:03:00Z</dcterms:created>
  <dcterms:modified xsi:type="dcterms:W3CDTF">2013-08-09T18:16:00Z</dcterms:modified>
</cp:coreProperties>
</file>